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2.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120.png" ContentType="image/png"/>
  <Override PartName="/word/media/rId116.png" ContentType="image/png"/>
  <Override PartName="/word/media/rId87.png" ContentType="image/png"/>
  <Override PartName="/word/media/rId53.png" ContentType="image/png"/>
  <Override PartName="/word/media/rId57.png" ContentType="image/png"/>
  <Override PartName="/word/media/rId49.png" ContentType="image/png"/>
  <Override PartName="/word/media/rId99.png" ContentType="image/png"/>
  <Override PartName="/word/media/rId77.png" ContentType="image/png"/>
  <Override PartName="/word/media/rId104.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2021-09-07</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w:t>
      </w:r>
      <w:r>
        <w:t xml:space="preserve"> </w:t>
      </w:r>
      <w:r>
        <w:t xml:space="preserve">sense their surroundings at cell adhesion sites for a multitude</w:t>
      </w:r>
      <w:r>
        <w:t xml:space="preserve"> </w:t>
      </w:r>
      <w:r>
        <w:t xml:space="preserve">of biological processes.</w:t>
      </w:r>
      <w:r>
        <w:t xml:space="preserve"> </w:t>
      </w:r>
      <w:r>
        <w:t xml:space="preserve">Contact with the extracellular matrix and surrounding cells regulates growth, differentiation,</w:t>
      </w:r>
      <w:r>
        <w:t xml:space="preserve"> </w:t>
      </w:r>
      <w:r>
        <w:t xml:space="preserve">motility and even apoptosis</w:t>
      </w:r>
      <w:r>
        <w:t xml:space="preserve"> </w:t>
      </w:r>
      <w:r>
        <w:t xml:space="preserve">(1–4)</w:t>
      </w:r>
      <w:r>
        <w:t xml:space="preserve">.</w:t>
      </w:r>
      <w:r>
        <w:t xml:space="preserve"> </w:t>
      </w:r>
      <w:r>
        <w:t xml:space="preserve">The multiprotein focal adhesion complex is responsible for translating</w:t>
      </w:r>
      <w:r>
        <w:t xml:space="preserve"> </w:t>
      </w:r>
      <w:r>
        <w:t xml:space="preserve">between biochemical and mechanical signals, where both directions,</w:t>
      </w:r>
      <w:r>
        <w:t xml:space="preserve"> </w:t>
      </w:r>
      <w:r>
        <w:t xml:space="preserve">outside–in and inside–out activation, are being investigated</w:t>
      </w:r>
      <w:r>
        <w:t xml:space="preserve"> </w:t>
      </w:r>
      <w:r>
        <w:t xml:space="preserve">(5, 6)</w:t>
      </w:r>
      <w:r>
        <w:t xml:space="preserve">.</w:t>
      </w:r>
    </w:p>
    <w:p>
      <w:pPr>
        <w:pStyle w:val="BodyText"/>
      </w:pPr>
      <w:r>
        <w:t xml:space="preserve">At the center of the focal adhesion complex sits the adaptorprotein talin,</w:t>
      </w:r>
      <w:r>
        <w:t xml:space="preserve"> </w:t>
      </w:r>
      <w:r>
        <w:t xml:space="preserve">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which in turn interact with collagen fibers via their heads,</w:t>
      </w:r>
      <w:r>
        <w:t xml:space="preserve"> </w:t>
      </w:r>
      <w:r>
        <w:t xml:space="preserve">it links the extracellular matrix to the intracellular cytoskeleton</w:t>
      </w:r>
      <w:r>
        <w:t xml:space="preserve"> </w:t>
      </w:r>
      <w:r>
        <w:t xml:space="preserve">by directly interacting with acting and increasing integrins</w:t>
      </w:r>
      <w:r>
        <w:t xml:space="preserve"> </w:t>
      </w:r>
      <w:r>
        <w:t xml:space="preserve">affinity for ligands, thereby activating it</w:t>
      </w:r>
      <w:r>
        <w:t xml:space="preserve"> </w:t>
      </w:r>
      <w:r>
        <w:t xml:space="preserve">(8)</w:t>
      </w:r>
      <w:r>
        <w:t xml:space="preserve">.</w:t>
      </w:r>
    </w:p>
    <w:p>
      <w:pPr>
        <w:pStyle w:val="BodyText"/>
      </w:pPr>
      <w:r>
        <w:t xml:space="preserve">Talin features an N-terminal FERM domain (F for 4.1 protein, E for ezrin, R for radixin and M for moesin) which provides the link to the cystosolic</w:t>
      </w:r>
      <w:r>
        <w:t xml:space="preserve"> </w:t>
      </w:r>
      <w:r>
        <w:t xml:space="preserve">side of the plasma membrane</w:t>
      </w:r>
      <w:r>
        <w:t xml:space="preserve"> </w:t>
      </w:r>
      <w:r>
        <w:t xml:space="preserve">(9)</w:t>
      </w:r>
      <w:r>
        <w:t xml:space="preserve">.</w:t>
      </w:r>
      <w:r>
        <w:t xml:space="preserve"> </w:t>
      </w:r>
      <w:r>
        <w:t xml:space="preserve">It does so via a conserved binding motif for</w:t>
      </w:r>
      <w:r>
        <w:t xml:space="preserve"> </w:t>
      </w:r>
      <w:r>
        <w:t xml:space="preserve">phosphatidylinositol 4,5-bisphosphate (PIP</w:t>
      </w:r>
      <w:r>
        <w:rPr>
          <w:vertAlign w:val="subscript"/>
        </w:rPr>
        <w:t xml:space="preserve">2</w:t>
      </w:r>
      <w:r>
        <w:t xml:space="preserve">),</w:t>
      </w:r>
      <w:r>
        <w:t xml:space="preserve"> </w:t>
      </w:r>
      <w:r>
        <w:t xml:space="preserve">which is enriched at active focal adhesion sites</w:t>
      </w:r>
      <w:r>
        <w:t xml:space="preserve"> </w:t>
      </w:r>
      <w:r>
        <w:t xml:space="preserve">(10–12)</w:t>
      </w:r>
      <w:r>
        <w:t xml:space="preserve">.</w:t>
      </w:r>
      <w:r>
        <w:t xml:space="preserve"> </w:t>
      </w:r>
      <w:r>
        <w:t xml:space="preserve">In the figures we color the individual subdomains F0-F3.</w:t>
      </w:r>
      <w:r>
        <w:t xml:space="preserve"> </w:t>
      </w:r>
      <w:r>
        <w:t xml:space="preserve">The main binding sites in F2 and F3 are highlighted with red spheres.</w:t>
      </w:r>
      <w:r>
        <w:t xml:space="preserve"> </w:t>
      </w:r>
      <w:r>
        <w:t xml:space="preserve">Notably, the Talin1 FERM domain differs from other FERM proteins through</w:t>
      </w:r>
      <w:r>
        <w:t xml:space="preserve"> </w:t>
      </w:r>
      <w:r>
        <w:t xml:space="preserve">the addition of the F0 subdomain, which is connected to F1 via a charged interface,</w:t>
      </w:r>
      <w:r>
        <w:t xml:space="preserve"> </w:t>
      </w:r>
      <w:r>
        <w:t xml:space="preserve">as well as an insert in F1, a flexible loop with helical propensity and basic residues</w:t>
      </w:r>
      <w:r>
        <w:t xml:space="preserve"> </w:t>
      </w:r>
      <w:r>
        <w:t xml:space="preserve">(13)</w:t>
      </w:r>
      <w:r>
        <w:t xml:space="preserve">.</w:t>
      </w:r>
      <w:r>
        <w:t xml:space="preserve"> </w:t>
      </w:r>
      <w:r>
        <w:t xml:space="preserve">Additionally, it exists in an extended conformation, as opposed to the cloverleaf-like</w:t>
      </w:r>
      <w:r>
        <w:t xml:space="preserve"> </w:t>
      </w:r>
      <w:r>
        <w:t xml:space="preserve">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w:t>
      </w:r>
      <w:r>
        <w:t xml:space="preserve"> </w:t>
      </w:r>
      <w:r>
        <w:t xml:space="preserve">for PIPKI</w:t>
      </w:r>
      <m:oMath>
        <m:r>
          <m:t>γ</m:t>
        </m:r>
      </m:oMath>
      <w:r>
        <w:t xml:space="preserve"> </w:t>
      </w:r>
      <w:r>
        <w:t xml:space="preserve">(16)</w:t>
      </w:r>
      <w:r>
        <w:t xml:space="preserve">.</w:t>
      </w:r>
      <w:r>
        <w:t xml:space="preserve"> </w:t>
      </w:r>
      <w:r>
        <w:t xml:space="preserve">A second integrin binding site is located with the rod domains 11 (R11)</w:t>
      </w:r>
      <w:r>
        <w:t xml:space="preserve"> </w:t>
      </w:r>
      <w:r>
        <w:t xml:space="preserve">(17)</w:t>
      </w:r>
      <w:r>
        <w:t xml:space="preserve">.</w:t>
      </w:r>
      <w:r>
        <w:t xml:space="preserve"> </w:t>
      </w:r>
      <w:r>
        <w:t xml:space="preserve">On the other hand talin interacts with the cytoskeleton through</w:t>
      </w:r>
      <w:r>
        <w:t xml:space="preserve"> </w:t>
      </w:r>
      <w:r>
        <w:t xml:space="preserve">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w:t>
      </w:r>
      <w:r>
        <w:t xml:space="preserve"> </w:t>
      </w:r>
      <w:r>
        <w:t xml:space="preserve">An excellent overview of the many interaction sites of talin</w:t>
      </w:r>
      <w:r>
        <w:t xml:space="preserve"> </w:t>
      </w:r>
      <w:r>
        <w:t xml:space="preserve">and its central role in the focal adhesion complex.</w:t>
      </w:r>
    </w:p>
    <w:p>
      <w:pPr>
        <w:pStyle w:val="BodyText"/>
      </w:pPr>
      <w:r>
        <w:t xml:space="preserve">It was previously shown that F3 can interact with R9, which hinders integrin</w:t>
      </w:r>
      <w:r>
        <w:t xml:space="preserve"> </w:t>
      </w:r>
      <w:r>
        <w:t xml:space="preserve">activation</w:t>
      </w:r>
      <w:r>
        <w:t xml:space="preserve"> </w:t>
      </w:r>
      <w:r>
        <w:t xml:space="preserve">(20)</w:t>
      </w:r>
      <w:r>
        <w:t xml:space="preserve"> </w:t>
      </w:r>
      <w:r>
        <w:t xml:space="preserve">and recently Dedden et al.</w:t>
      </w:r>
      <w:r>
        <w:t xml:space="preserve"> </w:t>
      </w:r>
      <w:r>
        <w:t xml:space="preserve">(21)</w:t>
      </w:r>
      <w:r>
        <w:t xml:space="preserve"> </w:t>
      </w:r>
      <w:r>
        <w:t xml:space="preserve">published a novel cryo-Electron Microscopy structure of</w:t>
      </w:r>
      <w:r>
        <w:t xml:space="preserve"> </w:t>
      </w:r>
      <w:r>
        <w:t xml:space="preserve">the autoinhibited Talin1.</w:t>
      </w:r>
      <w:r>
        <w:t xml:space="preserve"> </w:t>
      </w:r>
      <w:r>
        <w:t xml:space="preserve">They showed that the rod domains R9 and R12 shield the</w:t>
      </w:r>
      <w:r>
        <w:t xml:space="preserve"> </w:t>
      </w:r>
      <w:r>
        <w:t xml:space="preserve">established PIP</w:t>
      </w:r>
      <w:r>
        <w:rPr>
          <w:vertAlign w:val="subscript"/>
        </w:rPr>
        <w:t xml:space="preserve">2</w:t>
      </w:r>
      <w:r>
        <w:t xml:space="preserve"> </w:t>
      </w:r>
      <w:r>
        <w:t xml:space="preserve">binding surface and the integrin binding</w:t>
      </w:r>
      <w:r>
        <w:t xml:space="preserve"> </w:t>
      </w:r>
      <w:r>
        <w:t xml:space="preserve">site in F3.</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had previously investigated a fragment of talin consisting of F2-F3 and an</w:t>
      </w:r>
      <w:r>
        <w:t xml:space="preserve"> </w:t>
      </w:r>
      <w:r>
        <w:t xml:space="preserve">inhibiting rod segment and suggested a pull-push mechanism,</w:t>
      </w:r>
      <w:r>
        <w:t xml:space="preserve"> </w:t>
      </w:r>
      <w:r>
        <w:t xml:space="preserve">whereby negatively charged PIP</w:t>
      </w:r>
      <w:r>
        <w:rPr>
          <w:vertAlign w:val="subscript"/>
        </w:rPr>
        <w:t xml:space="preserve">2</w:t>
      </w:r>
      <w:r>
        <w:t xml:space="preserve"> </w:t>
      </w:r>
      <w:r>
        <w:t xml:space="preserve">attracts its positively</w:t>
      </w:r>
      <w:r>
        <w:t xml:space="preserve"> </w:t>
      </w:r>
      <w:r>
        <w:t xml:space="preserve">charged binding surface on F2-F3 and simultaneously</w:t>
      </w:r>
      <w:r>
        <w:t xml:space="preserve"> </w:t>
      </w:r>
      <w:r>
        <w:t xml:space="preserve">repels the negatively charged surface of the inhibitive rod segment.</w:t>
      </w:r>
      <w:r>
        <w:t xml:space="preserve"> </w:t>
      </w:r>
      <w:r>
        <w:t xml:space="preserve">However, this still leaves open the question of how</w:t>
      </w:r>
      <w:r>
        <w:t xml:space="preserve"> </w:t>
      </w:r>
      <w:r>
        <w:t xml:space="preserve">talin can establish a first contact with the membrane</w:t>
      </w:r>
      <w:r>
        <w:t xml:space="preserve"> </w:t>
      </w:r>
      <w:r>
        <w:t xml:space="preserve">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w:t>
      </w:r>
      <w:r>
        <w:t xml:space="preserve"> </w:t>
      </w:r>
      <w:r>
        <w:t xml:space="preserve">namely F0-F3, which comprise the N-terminal FERM domain (or talin head)</w:t>
      </w:r>
      <w:r>
        <w:t xml:space="preserve"> </w:t>
      </w:r>
      <w:r>
        <w:t xml:space="preserve">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w:t>
      </w:r>
      <w:r>
        <w:t xml:space="preserve"> </w:t>
      </w:r>
      <w:r>
        <w:t xml:space="preserve">an excellent review of Talin’s central role in the focal adhesion</w:t>
      </w:r>
      <w:r>
        <w:t xml:space="preserve"> </w:t>
      </w:r>
      <w:r>
        <w:t xml:space="preserve">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w:t>
      </w:r>
      <w:r>
        <w:t xml:space="preserve"> </w:t>
      </w:r>
      <w:r>
        <w:t xml:space="preserve">from bound actin the angle between the FERM domain and the talin rod</w:t>
      </w:r>
      <w:r>
        <w:t xml:space="preserve"> </w:t>
      </w:r>
      <w:r>
        <w:t xml:space="preserve">would be more akin to 30° as opposed to the linear structure used here</w:t>
      </w:r>
      <w:r>
        <w:t xml:space="preserve"> </w:t>
      </w:r>
      <w:r>
        <w:t xml:space="preserve">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w:t>
      </w:r>
      <w:r>
        <w:t xml:space="preserve"> </w:t>
      </w:r>
      <w:r>
        <w:t xml:space="preserve">reaching through the lipid bilayer are represented in green.</w:t>
      </w:r>
      <w:r>
        <w:t xml:space="preserve"> </w:t>
      </w:r>
      <w:r>
        <w:rPr>
          <w:bCs/>
          <w:b/>
        </w:rPr>
        <w:t xml:space="preserve">b)</w:t>
      </w:r>
      <w:r>
        <w:t xml:space="preserve"> </w:t>
      </w:r>
      <w:r>
        <w:t xml:space="preserve">A schematic rendering of the autoinhibited structure of Talin</w:t>
      </w:r>
      <w:r>
        <w:t xml:space="preserve"> </w:t>
      </w:r>
      <w:r>
        <w:t xml:space="preserve">as crystallized by Dedden et al.</w:t>
      </w:r>
      <w:r>
        <w:t xml:space="preserve"> </w:t>
      </w:r>
      <w:r>
        <w:t xml:space="preserve">(21)</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w:t>
      </w:r>
      <w:r>
        <w:t xml:space="preserve"> </w:t>
      </w:r>
      <w:r>
        <w:t xml:space="preserve">with our addition of the modelled F1 loop,</w:t>
      </w:r>
      <w:r>
        <w:t xml:space="preserve"> </w:t>
      </w:r>
      <w:r>
        <w:t xml:space="preserve">is fitted to the autoinhibited structure,</w:t>
      </w:r>
      <w:r>
        <w:t xml:space="preserve"> </w:t>
      </w:r>
      <w:r>
        <w:t xml:space="preserve">as the latter does not include F0-F1 due to their flexibility.</w:t>
      </w:r>
      <w:r>
        <w:t xml:space="preserve"> </w:t>
      </w:r>
      <w:r>
        <w:t xml:space="preserve">The complete FERM structure can be explored interactively</w:t>
      </w:r>
      <w:r>
        <w:t xml:space="preserve"> </w:t>
      </w:r>
      <w:r>
        <w:t xml:space="preserve">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w:t>
      </w:r>
      <w:r>
        <w:t xml:space="preserve"> </w:t>
      </w:r>
      <w:r>
        <w:t xml:space="preserve">Additionally, R9 covers up the integrin binding site.</w:t>
      </w:r>
    </w:p>
    <w:p>
      <w:pPr>
        <w:pStyle w:val="BodyText"/>
      </w:pPr>
      <w:r>
        <w:t xml:space="preserve">In order to investigate this we looked at the additional</w:t>
      </w:r>
      <w:r>
        <w:t xml:space="preserve"> </w:t>
      </w:r>
      <w:r>
        <w:t xml:space="preserve">flexible F1 loop, which had been shown to be important</w:t>
      </w:r>
      <w:r>
        <w:t xml:space="preserve"> </w:t>
      </w:r>
      <w:r>
        <w:t xml:space="preserve">for talin mediated integrin activation</w:t>
      </w:r>
      <w:r>
        <w:t xml:space="preserve"> </w:t>
      </w:r>
      <w:r>
        <w:t xml:space="preserve">(13)</w:t>
      </w:r>
      <w:r>
        <w:t xml:space="preserve">,</w:t>
      </w:r>
      <w:r>
        <w:t xml:space="preserve"> </w:t>
      </w:r>
      <w:r>
        <w:t xml:space="preserve">but was only considered a minor PIP</w:t>
      </w:r>
      <w:r>
        <w:rPr>
          <w:vertAlign w:val="subscript"/>
        </w:rPr>
        <w:t xml:space="preserve">2</w:t>
      </w:r>
      <w:r>
        <w:t xml:space="preserve"> </w:t>
      </w:r>
      <w:r>
        <w:t xml:space="preserve">binding site</w:t>
      </w:r>
      <w:r>
        <w:t xml:space="preserve"> </w:t>
      </w:r>
      <w:r>
        <w:t xml:space="preserve">compared to the main site in F2-F3</w:t>
      </w:r>
      <w:r>
        <w:t xml:space="preserve"> </w:t>
      </w:r>
      <w:r>
        <w:t xml:space="preserve">(22, 23)</w:t>
      </w:r>
      <w:r>
        <w:t xml:space="preserve">.</w:t>
      </w:r>
    </w:p>
    <w:p>
      <w:pPr>
        <w:pStyle w:val="BodyText"/>
      </w:pPr>
      <w:r>
        <w:t xml:space="preserve">Due to its high flexibility, the loop itself is not included</w:t>
      </w:r>
      <w:r>
        <w:t xml:space="preserve"> </w:t>
      </w:r>
      <w:r>
        <w:t xml:space="preserve">in crystal structures of the FERM domain,</w:t>
      </w:r>
      <w:r>
        <w:t xml:space="preserve"> </w:t>
      </w:r>
      <w:r>
        <w:t xml:space="preserve">such as PDB-ID 3IVF by Elliot et al.</w:t>
      </w:r>
      <w:r>
        <w:t xml:space="preserve"> </w:t>
      </w:r>
      <w:r>
        <w:t xml:space="preserve">(14)</w:t>
      </w:r>
      <w:r>
        <w:t xml:space="preserve">.</w:t>
      </w:r>
      <w:r>
        <w:t xml:space="preserve"> </w:t>
      </w:r>
      <w:r>
        <w:t xml:space="preserve">Its high flexibility however also gave use the confidence to</w:t>
      </w:r>
      <w:r>
        <w:t xml:space="preserve"> </w:t>
      </w:r>
      <w:r>
        <w:t xml:space="preserve">model it from sequence.</w:t>
      </w:r>
      <w:r>
        <w:t xml:space="preserve"> </w:t>
      </w:r>
      <w:r>
        <w:t xml:space="preserve">The retained flexibility in equilibrium simulations (</w:t>
      </w:r>
      <w:hyperlink w:anchor="fig-loop-rmsf">
        <w:r>
          <w:rPr>
            <w:rStyle w:val="Hyperlink"/>
          </w:rPr>
          <w:t xml:space="preserve">Figure 5 (a)</w:t>
        </w:r>
      </w:hyperlink>
      <w:r>
        <w:t xml:space="preserve">)</w:t>
      </w:r>
      <w:r>
        <w:t xml:space="preserve"> </w:t>
      </w:r>
      <w:r>
        <w:t xml:space="preserve">as well as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w:t>
      </w:r>
      <w:r>
        <w:t xml:space="preserve"> </w:t>
      </w:r>
      <w:r>
        <w:t xml:space="preserve">can be explored interactively in</w:t>
      </w:r>
      <w:r>
        <w:t xml:space="preserve"> </w:t>
      </w:r>
      <w:hyperlink w:anchor="sec-system">
        <w:r>
          <w:rPr>
            <w:rStyle w:val="Hyperlink"/>
          </w:rPr>
          <w:t xml:space="preserve">Section 7.1</w:t>
        </w:r>
      </w:hyperlink>
      <w:r>
        <w:t xml:space="preserve">.</w:t>
      </w:r>
    </w:p>
    <w:p>
      <w:pPr>
        <w:pStyle w:val="BodyText"/>
      </w:pPr>
      <w:r>
        <w:t xml:space="preserve">With a complete structure of the talin FERM domain</w:t>
      </w:r>
      <w:r>
        <w:t xml:space="preserve"> </w:t>
      </w:r>
      <w:r>
        <w:t xml:space="preserve">we investigated the role of the F1 loop through molecular</w:t>
      </w:r>
      <w:r>
        <w:t xml:space="preserve"> </w:t>
      </w:r>
      <w:r>
        <w:t xml:space="preserve">dynamics simulations.</w:t>
      </w:r>
      <w:r>
        <w:t xml:space="preserve"> </w:t>
      </w:r>
      <w:r>
        <w:t xml:space="preserve">By taking a closer look at just F0-F1, we first</w:t>
      </w:r>
      <w:r>
        <w:t xml:space="preserve"> </w:t>
      </w:r>
      <w:r>
        <w:t xml:space="preserve">show that the loop has a clear propensity to interact with</w:t>
      </w:r>
      <w:r>
        <w:t xml:space="preserve"> </w:t>
      </w:r>
      <w:r>
        <w:t xml:space="preserve">the PIP</w:t>
      </w:r>
      <w:r>
        <w:rPr>
          <w:vertAlign w:val="subscript"/>
        </w:rPr>
        <w:t xml:space="preserve">2</w:t>
      </w:r>
      <w:r>
        <w:t xml:space="preserve">-containing membrane</w:t>
      </w:r>
      <w:r>
        <w:t xml:space="preserve"> </w:t>
      </w:r>
      <w:r>
        <w:t xml:space="preserve">and is able to establish a first contact with it even from</w:t>
      </w:r>
      <w:r>
        <w:t xml:space="preserve"> </w:t>
      </w:r>
      <w:r>
        <w:t xml:space="preserve">unfavorable initial conformations due to its large search volume.</w:t>
      </w:r>
      <w:r>
        <w:t xml:space="preserve"> </w:t>
      </w:r>
      <w:r>
        <w:t xml:space="preserve">Furthermore, we show with simulations of the full-length FERM</w:t>
      </w:r>
      <w:r>
        <w:t xml:space="preserve"> </w:t>
      </w:r>
      <w:r>
        <w:t xml:space="preserve">domain that once the loop has established an initial contact, it</w:t>
      </w:r>
      <w:r>
        <w:t xml:space="preserve"> </w:t>
      </w:r>
      <w:r>
        <w:t xml:space="preserve">can anchor the FERM domain to the membrane and re-establish</w:t>
      </w:r>
      <w:r>
        <w:t xml:space="preserve"> </w:t>
      </w:r>
      <w:r>
        <w:t xml:space="preserve">the known major binding sites in F2-F3.</w:t>
      </w:r>
    </w:p>
    <w:p>
      <w:pPr>
        <w:pStyle w:val="BodyText"/>
      </w:pPr>
      <w:r>
        <w:t xml:space="preserve">These results provide mechanistic insight into the role of membrane</w:t>
      </w:r>
      <w:r>
        <w:t xml:space="preserve"> </w:t>
      </w:r>
      <w:r>
        <w:t xml:space="preserve">interactions for the localization of Talin at the center</w:t>
      </w:r>
      <w:r>
        <w:t xml:space="preserve"> </w:t>
      </w:r>
      <w:r>
        <w:t xml:space="preserve">of the focal adhesion complex and and highlight the role</w:t>
      </w:r>
      <w:r>
        <w:t xml:space="preserve"> </w:t>
      </w:r>
      <w:r>
        <w:t xml:space="preserve">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(24, 25)</w:t>
      </w:r>
      <w:r>
        <w:t xml:space="preserve"> </w:t>
      </w:r>
      <w:r>
        <w:t xml:space="preserve">version 2020.03</w:t>
      </w:r>
      <w:r>
        <w:t xml:space="preserve"> </w:t>
      </w:r>
      <w:r>
        <w:t xml:space="preserve">(26)</w:t>
      </w:r>
      <w:r>
        <w:t xml:space="preserve">.</w:t>
      </w:r>
      <w:r>
        <w:t xml:space="preserve"> </w:t>
      </w:r>
      <w:r>
        <w:t xml:space="preserve">A crystal structure of the Talin FERM domain by</w:t>
      </w:r>
      <w:r>
        <w:t xml:space="preserve"> </w:t>
      </w:r>
      <w:r>
        <w:t xml:space="preserve">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(27, 28)</w:t>
      </w:r>
      <w:r>
        <w:t xml:space="preserve"> </w:t>
      </w:r>
      <w:r>
        <w:t xml:space="preserve">via the interface to Chimera</w:t>
      </w:r>
      <w:r>
        <w:t xml:space="preserve"> </w:t>
      </w:r>
      <w:r>
        <w:t xml:space="preserve">(29)</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(30–32)</w:t>
      </w:r>
      <w:r>
        <w:t xml:space="preserve"> </w:t>
      </w:r>
      <w:r>
        <w:t xml:space="preserve">and GROMACS tools. 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(33, 34)</w:t>
      </w:r>
      <w:r>
        <w:t xml:space="preserve"> </w:t>
      </w:r>
      <w:r>
        <w:t xml:space="preserve">and Parinello-Rahman pressure coupling</w:t>
      </w:r>
      <w:r>
        <w:t xml:space="preserve"> </w:t>
      </w:r>
      <w:r>
        <w:t xml:space="preserve">(35)</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w:t>
      </w:r>
      <w:r>
        <w:t xml:space="preserve"> </w:t>
      </w:r>
      <w:r>
        <w:t xml:space="preserve">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w:t>
      </w:r>
      <w:r>
        <w:t xml:space="preserve"> </w:t>
      </w:r>
      <w:r>
        <w:t xml:space="preserve">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(36)</w:t>
      </w:r>
      <w:r>
        <w:t xml:space="preserve">.</w:t>
      </w:r>
      <w:r>
        <w:t xml:space="preserve"> </w:t>
      </w:r>
      <w:r>
        <w:t xml:space="preserve">Interactive structure representations are embedded using Mol*</w:t>
      </w:r>
      <w:r>
        <w:t xml:space="preserve"> </w:t>
      </w:r>
      <w:r>
        <w:t xml:space="preserve">(37)</w:t>
      </w:r>
      <w:r>
        <w:t xml:space="preserve">.</w:t>
      </w:r>
      <w:r>
        <w:t xml:space="preserve"> </w:t>
      </w:r>
      <w:r>
        <w:t xml:space="preserve">Schematic visualizations were rendered with blender</w:t>
      </w:r>
      <w:r>
        <w:t xml:space="preserve"> </w:t>
      </w:r>
      <w:r>
        <w:t xml:space="preserve">(38)</w:t>
      </w:r>
      <w:r>
        <w:t xml:space="preserve"> </w:t>
      </w:r>
      <w:r>
        <w:t xml:space="preserve">and VMD</w:t>
      </w:r>
      <w:r>
        <w:t xml:space="preserve"> </w:t>
      </w:r>
      <w:r>
        <w:t xml:space="preserve">(39)</w:t>
      </w:r>
      <w:r>
        <w:t xml:space="preserve">.</w:t>
      </w:r>
      <w:r>
        <w:t xml:space="preserve"> </w:t>
      </w:r>
      <w:r>
        <w:t xml:space="preserve">Files relevant to this paper that are too big to be uploaded to</w:t>
      </w:r>
      <w:r>
        <w:t xml:space="preserve"> </w:t>
      </w:r>
      <w:r>
        <w:t xml:space="preserve">this repository, such as trajectories and blender files,</w:t>
      </w:r>
      <w:r>
        <w:t xml:space="preserve"> </w:t>
      </w:r>
      <w:r>
        <w:t xml:space="preserve">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(40)</w:t>
      </w:r>
      <w:r>
        <w:t xml:space="preserve"> </w:t>
      </w:r>
      <w:r>
        <w:t xml:space="preserve">and Rmarkdown</w:t>
      </w:r>
      <w:r>
        <w:t xml:space="preserve"> </w:t>
      </w:r>
      <w:r>
        <w:t xml:space="preserve">(41–43)</w:t>
      </w:r>
      <w:r>
        <w:t xml:space="preserve">.</w:t>
      </w:r>
    </w:p>
    <w:bookmarkEnd w:id="46"/>
    <w:bookmarkEnd w:id="47"/>
    <w:bookmarkStart w:id="108"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When simulating F0-F1 over a POPC membrane containing 10% PIP</w:t>
      </w:r>
      <w:r>
        <w:rPr>
          <w:vertAlign w:val="subscript"/>
        </w:rPr>
        <w:t xml:space="preserve">2</w:t>
      </w:r>
      <w:r>
        <w:t xml:space="preserve"> </w:t>
      </w:r>
      <w:r>
        <w:t xml:space="preserve">we noticed that the F1 loop had a clear propensity to establish</w:t>
      </w:r>
      <w:r>
        <w:t xml:space="preserve"> </w:t>
      </w:r>
      <w:r>
        <w:t xml:space="preserve">contact with the membrane.</w:t>
      </w:r>
      <w:r>
        <w:t xml:space="preserve"> </w:t>
      </w:r>
      <w:r>
        <w:t xml:space="preserve">And once contact had been established the protein was</w:t>
      </w:r>
      <w:r>
        <w:t xml:space="preserve"> </w:t>
      </w:r>
      <w:r>
        <w:t xml:space="preserve">anchored strongly enough for more contacts to evolve</w:t>
      </w:r>
      <w:r>
        <w:t xml:space="preserve"> </w:t>
      </w:r>
      <w:r>
        <w:t xml:space="preserve">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w:t>
      </w:r>
      <w:r>
        <w:t xml:space="preserve"> </w:t>
      </w:r>
      <w:r>
        <w:t xml:space="preserve">of the starting position we performed a rotational sampling</w:t>
      </w:r>
      <w:r>
        <w:t xml:space="preserve"> </w:t>
      </w:r>
      <w:r>
        <w:t xml:space="preserve">of the system, where the starting angle of the loop</w:t>
      </w:r>
      <w:r>
        <w:t xml:space="preserve"> </w:t>
      </w:r>
      <w:r>
        <w:t xml:space="preserve">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w:t>
      </w:r>
      <w:r>
        <w:t xml:space="preserve"> </w:t>
      </w:r>
      <w:r>
        <w:t xml:space="preserve">position, the loop is able to find the membrane and bind to it,</w:t>
      </w:r>
      <w:r>
        <w:t xml:space="preserve"> </w:t>
      </w:r>
      <w:r>
        <w:t xml:space="preserve">though this does happen earlier in the simulation when the loop starts</w:t>
      </w:r>
      <w:r>
        <w:t xml:space="preserve"> </w:t>
      </w:r>
      <w:r>
        <w:t xml:space="preserve">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w:t>
      </w:r>
      <w:r>
        <w:t xml:space="preserve"> </w:t>
      </w:r>
      <w:r>
        <w:t xml:space="preserve">(180°, oriented away from the membrane) the loop is able to find</w:t>
      </w:r>
      <w:r>
        <w:t xml:space="preserve"> </w:t>
      </w:r>
      <w:r>
        <w:t xml:space="preserve">the membrane due to the large search space it can cover with</w:t>
      </w:r>
      <w:r>
        <w:t xml:space="preserve"> </w:t>
      </w:r>
      <w:r>
        <w:t xml:space="preserve">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w:t>
      </w:r>
      <w:r>
        <w:t xml:space="preserve"> </w:t>
      </w:r>
      <w:r>
        <w:t xml:space="preserve">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w:t>
      </w:r>
      <w:r>
        <w:t xml:space="preserve"> </w:t>
      </w:r>
      <w:r>
        <w:t xml:space="preserve">89 runs never made contact with the membrane, but</w:t>
      </w:r>
      <w:r>
        <w:t xml:space="preserve"> </w:t>
      </w:r>
      <w:r>
        <w:t xml:space="preserve">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w:t>
      </w:r>
      <w:r>
        <w:t xml:space="preserve"> </w:t>
      </w:r>
      <w:r>
        <w:t xml:space="preserve">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3740532"/>
                  <wp:effectExtent b="0" l="0" r="0" t="0"/>
                  <wp:docPr descr="(h) TODO. Placeholder image. Video here: https://youtu.be/Mf6WOBqI86M" title="" id="78" name="Picture"/>
                  <a:graphic>
                    <a:graphicData uri="http://schemas.openxmlformats.org/drawingml/2006/picture">
                      <pic:pic>
                        <pic:nvPicPr>
                          <pic:cNvPr descr="./www/hits-logo.png" id="79"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w:t>
      </w:r>
      <w:r>
        <w:t xml:space="preserve"> </w:t>
      </w:r>
      <w:r>
        <w:t xml:space="preserve">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w:t>
      </w:r>
      <w:r>
        <w:t xml:space="preserve"> </w:t>
      </w:r>
      <w:r>
        <w:t xml:space="preserve">that turn thicker for those molecules that are currently interacting</w:t>
      </w:r>
      <w:r>
        <w:t xml:space="preserve"> </w:t>
      </w:r>
      <w:r>
        <w:t xml:space="preserve">with residues of the protein.</w:t>
      </w:r>
      <w:r>
        <w:t xml:space="preserve"> </w:t>
      </w:r>
      <w:r>
        <w:t xml:space="preserve">Those residues are then shown as dark blue stick models.</w:t>
      </w:r>
      <w:r>
        <w:t xml:space="preserve"> </w:t>
      </w:r>
      <w:r>
        <w:t xml:space="preserve">Once the F1 loop has made contact with the membrane it can act as an anchor</w:t>
      </w:r>
      <w:r>
        <w:t xml:space="preserve"> </w:t>
      </w:r>
      <w:r>
        <w:t xml:space="preserve">and facilitate further contacts, ultimately pulling the</w:t>
      </w:r>
      <w:r>
        <w:t xml:space="preserve"> </w:t>
      </w:r>
      <w:r>
        <w:t xml:space="preserve">protein onto the membrane.</w:t>
      </w:r>
      <w:r>
        <w:t xml:space="preserve"> </w:t>
      </w:r>
      <w:r>
        <w:t xml:space="preserve">In order to test if this interaction of the loop with the membrane</w:t>
      </w:r>
      <w:r>
        <w:t xml:space="preserve"> </w:t>
      </w:r>
      <w:r>
        <w:t xml:space="preserve">is just the result of a biased starting position with the loop already</w:t>
      </w:r>
      <w:r>
        <w:t xml:space="preserve"> </w:t>
      </w:r>
      <w:r>
        <w:t xml:space="preserve">pointing downwards,</w:t>
      </w:r>
      <w:r>
        <w:t xml:space="preserve"> </w:t>
      </w:r>
      <w:r>
        <w:t xml:space="preserve">we sampled 60 different starting positions,</w:t>
      </w:r>
      <w:r>
        <w:t xml:space="preserve"> </w:t>
      </w:r>
      <w:r>
        <w:t xml:space="preserve">rotated equally spaced around the horizontal axis,</w:t>
      </w:r>
      <w:r>
        <w:t xml:space="preserve"> </w:t>
      </w:r>
      <w:r>
        <w:t xml:space="preserve">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w:t>
      </w:r>
      <w:r>
        <w:t xml:space="preserve"> </w:t>
      </w:r>
      <w:r>
        <w:t xml:space="preserve">where lost due to a hardware failure.</w:t>
      </w:r>
      <w:r>
        <w:t xml:space="preserve"> </w:t>
      </w:r>
      <w:r>
        <w:t xml:space="preserve">Each simulation is 200 ns long.</w:t>
      </w:r>
      <w:r>
        <w:t xml:space="preserve"> </w:t>
      </w:r>
      <w:r>
        <w:t xml:space="preserve">Across all angles (y-axis) we see that with very</w:t>
      </w:r>
      <w:r>
        <w:t xml:space="preserve"> </w:t>
      </w:r>
      <w:r>
        <w:t xml:space="preserve">few exceptions the F1 loop (dark blue region on the x-axis colorbar)</w:t>
      </w:r>
      <w:r>
        <w:t xml:space="preserve"> </w:t>
      </w:r>
      <w:r>
        <w:t xml:space="preserve">is almost always involved in interactions. 0° equates to the loop</w:t>
      </w:r>
      <w:r>
        <w:t xml:space="preserve"> </w:t>
      </w:r>
      <w:r>
        <w:t xml:space="preserve">pointing downwards towards the membrane.</w:t>
      </w:r>
      <w:r>
        <w:t xml:space="preserve"> </w:t>
      </w:r>
      <w:r>
        <w:t xml:space="preserve">The heatmap color represents the mean number of PIP</w:t>
      </w:r>
      <w:r>
        <w:rPr>
          <w:vertAlign w:val="subscript"/>
        </w:rPr>
        <w:t xml:space="preserve">2</w:t>
      </w:r>
      <w:r>
        <w:t xml:space="preserve"> </w:t>
      </w:r>
      <w:r>
        <w:t xml:space="preserve">molecules</w:t>
      </w:r>
      <w:r>
        <w:t xml:space="preserve"> </w:t>
      </w:r>
      <w:r>
        <w:t xml:space="preserve">that are in close contact with the respective residue summarized</w:t>
      </w:r>
      <w:r>
        <w:t xml:space="preserve"> </w:t>
      </w:r>
      <w:r>
        <w:t xml:space="preserve">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w:t>
      </w:r>
      <w:r>
        <w:t xml:space="preserve"> </w:t>
      </w:r>
      <w:r>
        <w:t xml:space="preserve">at the respective time and angle summarized over all residues and replicates.</w:t>
      </w:r>
      <w:r>
        <w:t xml:space="preserve"> </w:t>
      </w:r>
      <w:r>
        <w:t xml:space="preserve">Angles in which the loop is already favored towards the membrane</w:t>
      </w:r>
      <w:r>
        <w:t xml:space="preserve"> </w:t>
      </w:r>
      <w:r>
        <w:t xml:space="preserve">tend to make contact faster. Note, that this trend</w:t>
      </w:r>
      <w:r>
        <w:t xml:space="preserve"> </w:t>
      </w:r>
      <w:r>
        <w:t xml:space="preserve">is not simply because angles favoring the loop would have been</w:t>
      </w:r>
      <w:r>
        <w:t xml:space="preserve"> </w:t>
      </w:r>
      <w:r>
        <w:t xml:space="preserve">already closer to the membrane.</w:t>
      </w:r>
      <w:r>
        <w:t xml:space="preserve"> </w:t>
      </w:r>
      <w:r>
        <w:t xml:space="preserve">The protein was rotated in such a way that the respective closest residue</w:t>
      </w:r>
      <w:r>
        <w:t xml:space="preserve"> </w:t>
      </w:r>
      <w:r>
        <w:t xml:space="preserve">had the same distance to the membrane for the 0° and the 180° starting positions.</w:t>
      </w:r>
      <w:r>
        <w:t xml:space="preserve"> </w:t>
      </w:r>
      <w:r>
        <w:rPr>
          <w:bCs/>
          <w:b/>
        </w:rPr>
        <w:t xml:space="preserve">f)</w:t>
      </w:r>
      <w:r>
        <w:t xml:space="preserve"> </w:t>
      </w:r>
      <w:r>
        <w:t xml:space="preserve">A time evolution of the simulations shows the number of interacting</w:t>
      </w:r>
      <w:r>
        <w:t xml:space="preserve"> </w:t>
      </w:r>
      <w:r>
        <w:t xml:space="preserve">residues gradually increasing as the anchored protein gets pulled</w:t>
      </w:r>
      <w:r>
        <w:t xml:space="preserve"> </w:t>
      </w:r>
      <w:r>
        <w:t xml:space="preserve">closer towards the membrane by the forming interactions.</w:t>
      </w:r>
      <w:r>
        <w:t xml:space="preserve"> </w:t>
      </w:r>
      <w:r>
        <w:t xml:space="preserve">Only in 10 simulations (out of 269 simulations that had at least one contact)</w:t>
      </w:r>
      <w:r>
        <w:t xml:space="preserve"> </w:t>
      </w:r>
      <w:r>
        <w:t xml:space="preserve">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w:t>
      </w:r>
      <w:r>
        <w:t xml:space="preserve"> </w:t>
      </w:r>
      <w:r>
        <w:t xml:space="preserve">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w:t>
      </w:r>
      <w:r>
        <w:t xml:space="preserve"> </w:t>
      </w:r>
      <w:r>
        <w:t xml:space="preserve">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w:t>
      </w:r>
      <w:r>
        <w:t xml:space="preserve"> </w:t>
      </w:r>
      <w:r>
        <w:t xml:space="preserve">sampling as a starting point for force-probe simulations</w:t>
      </w:r>
      <w:r>
        <w:t xml:space="preserve"> </w:t>
      </w:r>
      <w:r>
        <w:t xml:space="preserve">of F0-F1 perpendicular to the membrane (</w:t>
      </w:r>
      <w:hyperlink w:anchor="fig-f0f1-vert-pull-vmd">
        <w:r>
          <w:rPr>
            <w:rStyle w:val="Hyperlink"/>
          </w:rPr>
          <w:t xml:space="preserve">Figure 3 (b)</w:t>
        </w:r>
      </w:hyperlink>
      <w:r>
        <w:t xml:space="preserve">) to test the strength</w:t>
      </w:r>
      <w:r>
        <w:t xml:space="preserve"> </w:t>
      </w:r>
      <w:r>
        <w:t xml:space="preserve">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w:t>
      </w:r>
      <w:r>
        <w:t xml:space="preserve"> </w:t>
      </w:r>
      <w:r>
        <w:t xml:space="preserve">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loop.</w:t>
      </w:r>
      <w:r>
        <w:t xml:space="preserve"> </w:t>
      </w:r>
      <w:r>
        <w:t xml:space="preserve">Its high flexibility allows it the remain in contact with the membrane</w:t>
      </w:r>
      <w:r>
        <w:t xml:space="preserve"> </w:t>
      </w:r>
      <w:r>
        <w:t xml:space="preserve">over large distances, which would allow for a spring-like re-establishing</w:t>
      </w:r>
      <w:r>
        <w:t xml:space="preserve"> </w:t>
      </w:r>
      <w:r>
        <w:t xml:space="preserve">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3740532"/>
                  <wp:effectExtent b="0" l="0" r="0" t="0"/>
                  <wp:docPr descr="(a) TODO. Placeholder image. Video here: https://youtu.be/yf8Tvutb-70" title="" id="83" name="Picture"/>
                  <a:graphic>
                    <a:graphicData uri="http://schemas.openxmlformats.org/drawingml/2006/picture">
                      <pic:pic>
                        <pic:nvPicPr>
                          <pic:cNvPr descr="./www/hits-logo.png" id="84"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445"/>
        <w:gridCol w:w="4474"/>
      </w:tblGrid>
      <w:tr>
        <w:tc>
          <w:tcPr/>
          <w:p>
            <w:pPr>
              <w:pStyle w:val="CaptionedFigure"/>
              <w:jc w:val="center"/>
            </w:pPr>
            <w:bookmarkStart w:id="90" w:name="fig-f0f1-vert-pull-vmd"/>
            <w:r>
              <w:drawing>
                <wp:inline>
                  <wp:extent cx="2587752" cy="2698542"/>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587752" cy="2698542"/>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355848" cy="2397034"/>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355848" cy="2397034"/>
                          </a:xfrm>
                          <a:prstGeom prst="rect">
                            <a:avLst/>
                          </a:prstGeom>
                          <a:noFill/>
                          <a:ln w="9525">
                            <a:noFill/>
                            <a:headEnd/>
                            <a:tailEnd/>
                          </a:ln>
                        </pic:spPr>
                      </pic:pic>
                    </a:graphicData>
                  </a:graphic>
                </wp:inline>
              </w:drawing>
            </w:r>
            <w:bookmarkEnd w:id="94"/>
          </w:p>
          <w:p>
            <w:pPr>
              <w:pStyle w:val="ImageCaption"/>
              <w:jc w:val="center"/>
            </w:pPr>
            <w:r>
              <w:t xml:space="preserve">(c)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w:t>
      </w:r>
      <w:r>
        <w:t xml:space="preserve"> </w:t>
      </w:r>
      <w:r>
        <w:t xml:space="preserve">F0-F1 off the membrane.</w:t>
      </w:r>
      <w:r>
        <w:t xml:space="preserve"> </w:t>
      </w:r>
      <w:r>
        <w:t xml:space="preserve">It starts from a snapshot of F0-F1 in its bound conformation taken</w:t>
      </w:r>
      <w:r>
        <w:t xml:space="preserve"> </w:t>
      </w:r>
      <w:r>
        <w:t xml:space="preserve">from the rotational sampling (</w:t>
      </w:r>
      <w:hyperlink w:anchor="fig-loop-importance">
        <w:r>
          <w:rPr>
            <w:rStyle w:val="Hyperlink"/>
          </w:rPr>
          <w:t xml:space="preserve">Figure 2</w:t>
        </w:r>
      </w:hyperlink>
      <w:r>
        <w:t xml:space="preserve">) and gets pulled</w:t>
      </w:r>
      <w:r>
        <w:t xml:space="preserve"> </w:t>
      </w:r>
      <w:r>
        <w:t xml:space="preserve">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w:t>
      </w:r>
      <w:r>
        <w:t xml:space="preserve"> </w:t>
      </w:r>
      <w:r>
        <w:t xml:space="preserve">observe the time evolution of the force (bottom panel) and</w:t>
      </w:r>
      <w:r>
        <w:t xml:space="preserve"> </w:t>
      </w:r>
      <w:r>
        <w:t xml:space="preserve">the number of interacting residues (top panel).</w:t>
      </w:r>
      <w:r>
        <w:t xml:space="preserve"> </w:t>
      </w:r>
      <w:r>
        <w:t xml:space="preserve">The number of interacting residues goes down very gradually,</w:t>
      </w:r>
      <w:r>
        <w:t xml:space="preserve"> </w:t>
      </w:r>
      <w:r>
        <w:t xml:space="preserve">as the high flexibility of loop allows the residues to remain</w:t>
      </w:r>
      <w:r>
        <w:t xml:space="preserve"> </w:t>
      </w:r>
      <w:r>
        <w:t xml:space="preserve">in contact even as the distance increases.</w:t>
      </w:r>
    </w:p>
    <w:p>
      <w:pPr>
        <w:pStyle w:val="BodyText"/>
      </w:pPr>
      <w:r>
        <w:t xml:space="preserve">Simulations with the full-length FERM domain show</w:t>
      </w:r>
      <w:r>
        <w:t xml:space="preserve"> </w:t>
      </w:r>
      <w:r>
        <w:t xml:space="preserve">that with the loop as an initial membrane contact,</w:t>
      </w:r>
      <w:r>
        <w:t xml:space="preserve"> </w:t>
      </w:r>
      <w:r>
        <w:t xml:space="preserve">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(22)</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erm-ri-npip"/>
            <w:r>
              <w:drawing>
                <wp:inline>
                  <wp:extent cx="5334000" cy="3810000"/>
                  <wp:effectExtent b="0" l="0" r="0" t="0"/>
                  <wp:docPr descr="(a)  " title="" id="96" name="Picture"/>
                  <a:graphic>
                    <a:graphicData uri="http://schemas.openxmlformats.org/drawingml/2006/picture">
                      <pic:pic>
                        <pic:nvPicPr>
                          <pic:cNvPr descr="./assets/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memb-system"/>
            <w:r>
              <w:drawing>
                <wp:inline>
                  <wp:extent cx="5334000" cy="2820236"/>
                  <wp:effectExtent b="0" l="0" r="0" t="0"/>
                  <wp:docPr descr="(b)  "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bookmarkEnd w:id="102"/>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(22)</w:t>
      </w:r>
      <w:r>
        <w:t xml:space="preserve"> </w:t>
      </w:r>
      <w:r>
        <w:t xml:space="preserve">are highlighted with red lines on the</w:t>
      </w:r>
      <w:r>
        <w:t xml:space="preserve"> </w:t>
      </w:r>
      <w:r>
        <w:t xml:space="preserve">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Start w:id="107"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opt/quarto/share/formats/docx/note.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w:t>
            </w:r>
            <w:r>
              <w:t xml:space="preserve"> </w:t>
            </w:r>
            <w:r>
              <w:t xml:space="preserve">angle of 30° laterally over a membrane with differing concentrations of PIP</w:t>
            </w:r>
            <w:r>
              <w:rPr>
                <w:vertAlign w:val="subscript"/>
              </w:rPr>
              <w:t xml:space="preserve">2</w:t>
            </w:r>
            <w:r>
              <w:t xml:space="preserve"> </w:t>
            </w:r>
            <w:r>
              <w:t xml:space="preserve">are currently running.</w:t>
            </w:r>
          </w:p>
        </w:tc>
      </w:tr>
    </w:tbl>
    <w:bookmarkEnd w:id="107"/>
    <w:bookmarkEnd w:id="108"/>
    <w:bookmarkStart w:id="109" w:name="discussion-and-outlook"/>
    <w:p>
      <w:pPr>
        <w:pStyle w:val="Heading1"/>
      </w:pPr>
      <w:r>
        <w:t xml:space="preserve">Discussion and Outlook</w:t>
      </w:r>
    </w:p>
    <w:p>
      <w:pPr>
        <w:pStyle w:val="FirstParagraph"/>
      </w:pPr>
      <w:r>
        <w:t xml:space="preserve">Using molecular dynamics simulations, we provide mechanistic insight</w:t>
      </w:r>
      <w:r>
        <w:t xml:space="preserve"> </w:t>
      </w:r>
      <w:r>
        <w:t xml:space="preserve">into the membrane recognition dynamics of Talin.</w:t>
      </w:r>
      <w:r>
        <w:t xml:space="preserve"> </w:t>
      </w:r>
      <w:r>
        <w:t xml:space="preserve">This adds a mode of interaction that helps to explain</w:t>
      </w:r>
      <w:r>
        <w:t xml:space="preserve"> </w:t>
      </w:r>
      <w:r>
        <w:t xml:space="preserve">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w:t>
      </w:r>
      <w:r>
        <w:t xml:space="preserve"> </w:t>
      </w:r>
      <w:r>
        <w:t xml:space="preserve">that the F1 loop is able to interact with the membrane even</w:t>
      </w:r>
      <w:r>
        <w:t xml:space="preserve"> </w:t>
      </w:r>
      <w:r>
        <w:t xml:space="preserve">from most unfavorable positions, recognition this is only the first step.</w:t>
      </w:r>
      <w:r>
        <w:t xml:space="preserve"> </w:t>
      </w:r>
      <w:r>
        <w:t xml:space="preserve">It would indeed be fascinating to also provide mechanistic</w:t>
      </w:r>
      <w:r>
        <w:t xml:space="preserve"> </w:t>
      </w:r>
      <w:r>
        <w:t xml:space="preserve">ideas for the resolution of the autoinhibition by</w:t>
      </w:r>
      <w:r>
        <w:t xml:space="preserve"> </w:t>
      </w:r>
      <w:r>
        <w:t xml:space="preserve">all-atom simulations of the FERM domain that also include</w:t>
      </w:r>
      <w:r>
        <w:t xml:space="preserve"> </w:t>
      </w:r>
      <w:r>
        <w:t xml:space="preserve">an inhibiting rod segment.</w:t>
      </w:r>
      <w:r>
        <w:t xml:space="preserve"> </w:t>
      </w:r>
      <w:r>
        <w:t xml:space="preserve">These larger-scale simulations might then be able to</w:t>
      </w:r>
      <w:r>
        <w:t xml:space="preserve"> </w:t>
      </w:r>
      <w:r>
        <w:t xml:space="preserve">provide evidence for the push–pull mechanism proposed by Song et al.</w:t>
      </w:r>
      <w:r>
        <w:t xml:space="preserve"> </w:t>
      </w:r>
      <w:r>
        <w:t xml:space="preserve">(12)</w:t>
      </w:r>
      <w:r>
        <w:t xml:space="preserve"> </w:t>
      </w:r>
      <w:r>
        <w:t xml:space="preserve">or result in novel ideas.</w:t>
      </w:r>
    </w:p>
    <w:bookmarkEnd w:id="109"/>
    <w:bookmarkStart w:id="110"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0"/>
    <w:bookmarkStart w:id="111"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1"/>
    <w:bookmarkStart w:id="132"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5" w:name="fig-loop-rmsf"/>
            <w:r>
              <w:drawing>
                <wp:inline>
                  <wp:extent cx="2971800" cy="1671637"/>
                  <wp:effectExtent b="0" l="0" r="0" t="0"/>
                  <wp:docPr descr="(a)  " title="" id="113" name="Picture"/>
                  <a:graphic>
                    <a:graphicData uri="http://schemas.openxmlformats.org/drawingml/2006/picture">
                      <pic:pic>
                        <pic:nvPicPr>
                          <pic:cNvPr descr="./assets/results/figures/loop-rmsf.png" id="114" name="Picture"/>
                          <pic:cNvPicPr>
                            <a:picLocks noChangeArrowheads="1" noChangeAspect="1"/>
                          </pic:cNvPicPr>
                        </pic:nvPicPr>
                        <pic:blipFill>
                          <a:blip r:embed="rId112"/>
                          <a:stretch>
                            <a:fillRect/>
                          </a:stretch>
                        </pic:blipFill>
                        <pic:spPr bwMode="auto">
                          <a:xfrm>
                            <a:off x="0" y="0"/>
                            <a:ext cx="2971800" cy="1671637"/>
                          </a:xfrm>
                          <a:prstGeom prst="rect">
                            <a:avLst/>
                          </a:prstGeom>
                          <a:noFill/>
                          <a:ln w="9525">
                            <a:noFill/>
                            <a:headEnd/>
                            <a:tailEnd/>
                          </a:ln>
                        </pic:spPr>
                      </pic:pic>
                    </a:graphicData>
                  </a:graphic>
                </wp:inline>
              </w:drawing>
            </w:r>
            <w:bookmarkEnd w:id="115"/>
          </w:p>
          <w:p>
            <w:pPr>
              <w:pStyle w:val="ImageCaption"/>
              <w:jc w:val="center"/>
            </w:pPr>
            <w:r>
              <w:t xml:space="preserve">(a)  </w:t>
            </w:r>
          </w:p>
        </w:tc>
        <w:tc>
          <w:tcPr/>
          <w:p>
            <w:pPr>
              <w:pStyle w:val="CaptionedFigure"/>
              <w:jc w:val="center"/>
            </w:pPr>
            <w:bookmarkStart w:id="119" w:name="fig-r-hist"/>
            <w:r>
              <w:drawing>
                <wp:inline>
                  <wp:extent cx="2971800" cy="2122714"/>
                  <wp:effectExtent b="0" l="0" r="0" t="0"/>
                  <wp:docPr descr="(b)  " title="" id="117" name="Picture"/>
                  <a:graphic>
                    <a:graphicData uri="http://schemas.openxmlformats.org/drawingml/2006/picture">
                      <pic:pic>
                        <pic:nvPicPr>
                          <pic:cNvPr descr="./assets/results/plots/rot-sample-r-hist-1.png" id="118" name="Picture"/>
                          <pic:cNvPicPr>
                            <a:picLocks noChangeArrowheads="1" noChangeAspect="1"/>
                          </pic:cNvPicPr>
                        </pic:nvPicPr>
                        <pic:blipFill>
                          <a:blip r:embed="rId116"/>
                          <a:stretch>
                            <a:fillRect/>
                          </a:stretch>
                        </pic:blipFill>
                        <pic:spPr bwMode="auto">
                          <a:xfrm>
                            <a:off x="0" y="0"/>
                            <a:ext cx="2971800" cy="2122714"/>
                          </a:xfrm>
                          <a:prstGeom prst="rect">
                            <a:avLst/>
                          </a:prstGeom>
                          <a:noFill/>
                          <a:ln w="9525">
                            <a:noFill/>
                            <a:headEnd/>
                            <a:tailEnd/>
                          </a:ln>
                        </pic:spPr>
                      </pic:pic>
                    </a:graphicData>
                  </a:graphic>
                </wp:inline>
              </w:drawing>
            </w:r>
            <w:bookmarkEnd w:id="119"/>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3" w:name="fig-ferm-time-ri-npip-all"/>
            <w:r>
              <w:drawing>
                <wp:inline>
                  <wp:extent cx="5334000" cy="3810000"/>
                  <wp:effectExtent b="0" l="0" r="0" t="0"/>
                  <wp:docPr descr="(c)  " title="" id="121" name="Picture"/>
                  <a:graphic>
                    <a:graphicData uri="http://schemas.openxmlformats.org/drawingml/2006/picture">
                      <pic:pic>
                        <pic:nvPicPr>
                          <pic:cNvPr descr="./assets/results/plots/ferm-time-ri-npip-all-1.png" id="122" name="Picture"/>
                          <pic:cNvPicPr>
                            <a:picLocks noChangeArrowheads="1" noChangeAspect="1"/>
                          </pic:cNvPicPr>
                        </pic:nvPicPr>
                        <pic:blipFill>
                          <a:blip r:embed="rId120"/>
                          <a:stretch>
                            <a:fillRect/>
                          </a:stretch>
                        </pic:blipFill>
                        <pic:spPr bwMode="auto">
                          <a:xfrm>
                            <a:off x="0" y="0"/>
                            <a:ext cx="5334000" cy="3810000"/>
                          </a:xfrm>
                          <a:prstGeom prst="rect">
                            <a:avLst/>
                          </a:prstGeom>
                          <a:noFill/>
                          <a:ln w="9525">
                            <a:noFill/>
                            <a:headEnd/>
                            <a:tailEnd/>
                          </a:ln>
                        </pic:spPr>
                      </pic:pic>
                    </a:graphicData>
                  </a:graphic>
                </wp:inline>
              </w:drawing>
            </w:r>
            <w:bookmarkEnd w:id="123"/>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4"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4"/>
          <w:p/>
        </w:tc>
        <w:tc>
          <w:tcPr/>
          <w:bookmarkStart w:id="125"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5"/>
          <w:p/>
        </w:tc>
        <w:tc>
          <w:tcPr/>
          <w:bookmarkStart w:id="126"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26"/>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27" w:name="sec-system"/>
    <w:p>
      <w:pPr>
        <w:pStyle w:val="Heading2"/>
      </w:pPr>
      <w:r>
        <w:t xml:space="preserve">Simulation system</w:t>
      </w:r>
    </w:p>
    <w:bookmarkEnd w:id="127"/>
    <w:bookmarkStart w:id="131"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w:t>
            </w:r>
            <w:r>
              <w:t xml:space="preserve"> </w:t>
            </w:r>
            <w:r>
              <w:t xml:space="preserve">will be uploaded and linked here.</w:t>
            </w:r>
          </w:p>
        </w:tc>
      </w:tr>
    </w:tbl>
    <w:bookmarkStart w:id="130"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130"/>
    <w:bookmarkEnd w:id="131"/>
    <w:bookmarkEnd w:id="132"/>
    <w:bookmarkStart w:id="214" w:name="references"/>
    <w:p>
      <w:pPr>
        <w:pStyle w:val="Heading1"/>
      </w:pPr>
      <w:r>
        <w:t xml:space="preserve">References</w:t>
      </w:r>
    </w:p>
    <w:p>
      <w:pPr>
        <w:pStyle w:val="FirstParagraph"/>
      </w:pPr>
    </w:p>
    <w:bookmarkStart w:id="213" w:name="refs"/>
    <w:bookmarkStart w:id="134" w:name="ref-vogelLocalForceGeometry2006"/>
    <w:p>
      <w:pPr>
        <w:pStyle w:val="Bibliography"/>
      </w:pPr>
      <w:r>
        <w:t xml:space="preserve">1.</w:t>
      </w:r>
      <w:r>
        <w:t xml:space="preserve"> </w:t>
      </w:r>
      <w:r>
        <w:t xml:space="preserve">	</w:t>
      </w:r>
      <w:r>
        <w:t xml:space="preserve">Vogel, V., and M. Sheetz. 2006.</w:t>
      </w:r>
      <w:r>
        <w:t xml:space="preserve"> </w:t>
      </w:r>
      <w:hyperlink r:id="rId133">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4"/>
    <w:bookmarkStart w:id="136" w:name="ref-oakesStressingLimitsFocal2014"/>
    <w:p>
      <w:pPr>
        <w:pStyle w:val="Bibliography"/>
      </w:pPr>
      <w:r>
        <w:t xml:space="preserve">2.</w:t>
      </w:r>
      <w:r>
        <w:t xml:space="preserve"> </w:t>
      </w:r>
      <w:r>
        <w:t xml:space="preserve">	</w:t>
      </w:r>
      <w:r>
        <w:t xml:space="preserve">Oakes, P.W., and M.L. Gardel. 2014.</w:t>
      </w:r>
      <w:r>
        <w:t xml:space="preserve"> </w:t>
      </w:r>
      <w:hyperlink r:id="rId135">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36"/>
    <w:bookmarkStart w:id="138" w:name="X1f53f49d7729ed79ded6964e36883c27fd4e415"/>
    <w:p>
      <w:pPr>
        <w:pStyle w:val="Bibliography"/>
      </w:pPr>
      <w:r>
        <w:t xml:space="preserve">3.</w:t>
      </w:r>
      <w:r>
        <w:t xml:space="preserve"> </w:t>
      </w:r>
      <w:r>
        <w:t xml:space="preserve">	</w:t>
      </w:r>
      <w:r>
        <w:t xml:space="preserve">Schiller, H.B., and R. Fässler. 2013.</w:t>
      </w:r>
      <w:r>
        <w:t xml:space="preserve"> </w:t>
      </w:r>
      <w:hyperlink r:id="rId137">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38"/>
    <w:bookmarkStart w:id="140"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39">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0"/>
    <w:bookmarkStart w:id="142"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1">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2"/>
    <w:bookmarkStart w:id="144"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3">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4"/>
    <w:bookmarkStart w:id="146"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5">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46"/>
    <w:bookmarkStart w:id="148"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47">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48"/>
    <w:bookmarkStart w:id="150"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49">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0"/>
    <w:bookmarkStart w:id="152"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1">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2"/>
    <w:bookmarkStart w:id="154"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3">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4"/>
    <w:bookmarkStart w:id="156"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5">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56"/>
    <w:bookmarkStart w:id="158"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57">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58"/>
    <w:bookmarkStart w:id="160"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59">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0"/>
    <w:bookmarkStart w:id="162"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1">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2"/>
    <w:bookmarkStart w:id="164"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3">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4"/>
    <w:bookmarkStart w:id="166"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5">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66"/>
    <w:bookmarkStart w:id="168" w:name="ref-mccannLWEQModuleConserved1997"/>
    <w:p>
      <w:pPr>
        <w:pStyle w:val="Bibliography"/>
      </w:pPr>
      <w:r>
        <w:t xml:space="preserve">18.</w:t>
      </w:r>
      <w:r>
        <w:t xml:space="preserve"> </w:t>
      </w:r>
      <w:r>
        <w:t xml:space="preserve">	</w:t>
      </w:r>
      <w:r>
        <w:t xml:space="preserve">McCann, R.O., and S.W. Craig. 1997.</w:t>
      </w:r>
      <w:r>
        <w:t xml:space="preserve"> </w:t>
      </w:r>
      <w:hyperlink r:id="rId167">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68"/>
    <w:bookmarkStart w:id="170" w:name="ref-klapholzTalinMasterIntegrin2017"/>
    <w:p>
      <w:pPr>
        <w:pStyle w:val="Bibliography"/>
      </w:pPr>
      <w:r>
        <w:t xml:space="preserve">19.</w:t>
      </w:r>
      <w:r>
        <w:t xml:space="preserve"> </w:t>
      </w:r>
      <w:r>
        <w:t xml:space="preserve">	</w:t>
      </w:r>
      <w:r>
        <w:t xml:space="preserve">Klapholz, B., and N.H. Brown. 2017.</w:t>
      </w:r>
      <w:r>
        <w:t xml:space="preserve"> </w:t>
      </w:r>
      <w:hyperlink r:id="rId169">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0"/>
    <w:bookmarkStart w:id="172" w:name="X46e628e4aadbaa8873f37552d0384d2f4eb3310"/>
    <w:p>
      <w:pPr>
        <w:pStyle w:val="Bibliography"/>
      </w:pPr>
      <w:r>
        <w:t xml:space="preserve">20.</w:t>
      </w:r>
      <w:r>
        <w:t xml:space="preserve"> </w:t>
      </w:r>
      <w:r>
        <w:t xml:space="preserve">	</w:t>
      </w:r>
      <w:r>
        <w:t xml:space="preserve">Banno, A., B.T. Goult, H. Lee, N. Bate, D.R. Critchley, and M.H. Ginsberg. 2012.</w:t>
      </w:r>
      <w:r>
        <w:t xml:space="preserve"> </w:t>
      </w:r>
      <w:hyperlink r:id="rId171">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72"/>
    <w:bookmarkStart w:id="174" w:name="ref-deddenArchitectureTalin1Reveals2019a"/>
    <w:p>
      <w:pPr>
        <w:pStyle w:val="Bibliography"/>
      </w:pPr>
      <w:r>
        <w:t xml:space="preserve">21.</w:t>
      </w:r>
      <w:r>
        <w:t xml:space="preserve"> </w:t>
      </w:r>
      <w:r>
        <w:t xml:space="preserve">	</w:t>
      </w:r>
      <w:r>
        <w:t xml:space="preserve">Dedden, D., S. Schumacher, C.F. Kelley, M. Zacharias, C. Biertümpfel, R. Fässler, and N. Mizuno. 2019.</w:t>
      </w:r>
      <w:r>
        <w:t xml:space="preserve"> </w:t>
      </w:r>
      <w:hyperlink r:id="rId173">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74"/>
    <w:bookmarkStart w:id="176" w:name="X31ba41dce33ec37485fec16b89a9ad582b954a5"/>
    <w:p>
      <w:pPr>
        <w:pStyle w:val="Bibliography"/>
      </w:pPr>
      <w:r>
        <w:t xml:space="preserve">22.</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23.</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d06519655a1b8ffa5d419a65af34426b7910013"/>
    <w:p>
      <w:pPr>
        <w:pStyle w:val="Bibliography"/>
      </w:pPr>
      <w:r>
        <w:t xml:space="preserve">24.</w:t>
      </w:r>
      <w:r>
        <w:t xml:space="preserve"> </w:t>
      </w:r>
      <w:r>
        <w:t xml:space="preserve">	</w:t>
      </w:r>
      <w:r>
        <w:t xml:space="preserve">Berendsen, H.J.C., D. van der Spoel, and R. van Drunen. 1995.</w:t>
      </w:r>
      <w:r>
        <w:t xml:space="preserve"> </w:t>
      </w:r>
      <w:hyperlink r:id="rId179">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0"/>
    <w:bookmarkStart w:id="182" w:name="ref-abrahamGROMACSHighPerformance2015"/>
    <w:p>
      <w:pPr>
        <w:pStyle w:val="Bibliography"/>
      </w:pPr>
      <w:r>
        <w:t xml:space="preserve">25.</w:t>
      </w:r>
      <w:r>
        <w:t xml:space="preserve"> </w:t>
      </w:r>
      <w:r>
        <w:t xml:space="preserve">	</w:t>
      </w:r>
      <w:r>
        <w:t xml:space="preserve">Abraham, M.J., T. Murtola, R. Schulz, S. Páll, J.C. Smith, B. Hess, and E. Lindahl. 2015.</w:t>
      </w:r>
      <w:r>
        <w:t xml:space="preserve"> </w:t>
      </w:r>
      <w:hyperlink r:id="rId181">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82"/>
    <w:bookmarkStart w:id="184" w:name="ref-lindahlGROMACS2020Source2020"/>
    <w:p>
      <w:pPr>
        <w:pStyle w:val="Bibliography"/>
      </w:pPr>
      <w:r>
        <w:t xml:space="preserve">26.</w:t>
      </w:r>
      <w:r>
        <w:t xml:space="preserve"> </w:t>
      </w:r>
      <w:r>
        <w:t xml:space="preserve">	</w:t>
      </w:r>
      <w:r>
        <w:t xml:space="preserve">Lindahl, Abraham, Hess, and van der Spoel. 2020-01-01, 2020-01.</w:t>
      </w:r>
      <w:r>
        <w:t xml:space="preserve"> </w:t>
      </w:r>
      <w:hyperlink r:id="rId183">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84"/>
    <w:bookmarkStart w:id="186" w:name="Xfb8863d2ed6bc33f0bb531180818fc9ca7d7086"/>
    <w:p>
      <w:pPr>
        <w:pStyle w:val="Bibliography"/>
      </w:pPr>
      <w:r>
        <w:t xml:space="preserve">27.</w:t>
      </w:r>
      <w:r>
        <w:t xml:space="preserve"> </w:t>
      </w:r>
      <w:r>
        <w:t xml:space="preserve">	</w:t>
      </w:r>
      <w:r>
        <w:t xml:space="preserve">Martí-Renom, M.A., A.C. Stuart, A. Fiser, R. Sánchez, F. Melo, and A. Sali. 2000.</w:t>
      </w:r>
      <w:r>
        <w:t xml:space="preserve"> </w:t>
      </w:r>
      <w:hyperlink r:id="rId185">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86"/>
    <w:bookmarkStart w:id="188" w:name="ref-webbComparativeProteinStructure2016"/>
    <w:p>
      <w:pPr>
        <w:pStyle w:val="Bibliography"/>
      </w:pPr>
      <w:r>
        <w:t xml:space="preserve">28.</w:t>
      </w:r>
      <w:r>
        <w:t xml:space="preserve"> </w:t>
      </w:r>
      <w:r>
        <w:t xml:space="preserve">	</w:t>
      </w:r>
      <w:r>
        <w:t xml:space="preserve">Webb, B., and A. Sali. 2016.</w:t>
      </w:r>
      <w:r>
        <w:t xml:space="preserve"> </w:t>
      </w:r>
      <w:hyperlink r:id="rId187">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88"/>
    <w:bookmarkStart w:id="190" w:name="X4cc315cea2d68a0b6b73a9f66160a2302b8dda5"/>
    <w:p>
      <w:pPr>
        <w:pStyle w:val="Bibliography"/>
      </w:pPr>
      <w:r>
        <w:t xml:space="preserve">29.</w:t>
      </w:r>
      <w:r>
        <w:t xml:space="preserve"> </w:t>
      </w:r>
      <w:r>
        <w:t xml:space="preserve">	</w:t>
      </w:r>
      <w:r>
        <w:t xml:space="preserve">Pettersen, E.F., T.D. Goddard, C.C. Huang, G.S. Couch, D.M. Greenblatt, E.C. Meng, and T.E. Ferrin. 2004.</w:t>
      </w:r>
      <w:r>
        <w:t xml:space="preserve"> </w:t>
      </w:r>
      <w:hyperlink r:id="rId189">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0"/>
    <w:bookmarkStart w:id="192" w:name="X01b55575dd7e128d31e32fa0863a26f1091b24b"/>
    <w:p>
      <w:pPr>
        <w:pStyle w:val="Bibliography"/>
      </w:pPr>
      <w:r>
        <w:t xml:space="preserve">30.</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1">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192"/>
    <w:bookmarkStart w:id="194" w:name="ref-joCHARMMGUIWebbasedGraphical2008"/>
    <w:p>
      <w:pPr>
        <w:pStyle w:val="Bibliography"/>
      </w:pPr>
      <w:r>
        <w:t xml:space="preserve">31.</w:t>
      </w:r>
      <w:r>
        <w:t xml:space="preserve"> </w:t>
      </w:r>
      <w:r>
        <w:t xml:space="preserve">	</w:t>
      </w:r>
      <w:r>
        <w:t xml:space="preserve">Jo, S., T. Kim, V.G. Iyer, and W. Im. 2008.</w:t>
      </w:r>
      <w:r>
        <w:t xml:space="preserve"> </w:t>
      </w:r>
      <w:hyperlink r:id="rId193">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194"/>
    <w:bookmarkStart w:id="196" w:name="ref-leeCHARMMGUIInputGenerator2016"/>
    <w:p>
      <w:pPr>
        <w:pStyle w:val="Bibliography"/>
      </w:pPr>
      <w:r>
        <w:t xml:space="preserve">32.</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195">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196"/>
    <w:bookmarkStart w:id="198" w:name="X1057da5d77f0bf0fb2d07549e9b32767a4b477a"/>
    <w:p>
      <w:pPr>
        <w:pStyle w:val="Bibliography"/>
      </w:pPr>
      <w:r>
        <w:t xml:space="preserve">33.</w:t>
      </w:r>
      <w:r>
        <w:t xml:space="preserve"> </w:t>
      </w:r>
      <w:r>
        <w:t xml:space="preserve">	</w:t>
      </w:r>
      <w:r>
        <w:t xml:space="preserve">Hoover, W.G. 1985.</w:t>
      </w:r>
      <w:r>
        <w:t xml:space="preserve"> </w:t>
      </w:r>
      <w:hyperlink r:id="rId197">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198"/>
    <w:bookmarkStart w:id="200" w:name="ref-noseUnifiedFormulationConstant1984"/>
    <w:p>
      <w:pPr>
        <w:pStyle w:val="Bibliography"/>
      </w:pPr>
      <w:r>
        <w:t xml:space="preserve">34.</w:t>
      </w:r>
      <w:r>
        <w:t xml:space="preserve"> </w:t>
      </w:r>
      <w:r>
        <w:t xml:space="preserve">	</w:t>
      </w:r>
      <w:r>
        <w:t xml:space="preserve">Nosé, S. 1984.</w:t>
      </w:r>
      <w:r>
        <w:t xml:space="preserve"> </w:t>
      </w:r>
      <w:hyperlink r:id="rId199">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0"/>
    <w:bookmarkStart w:id="202" w:name="X7e7666b4982a28a7379c697b2057d381c2e1bb2"/>
    <w:p>
      <w:pPr>
        <w:pStyle w:val="Bibliography"/>
      </w:pPr>
      <w:r>
        <w:t xml:space="preserve">35.</w:t>
      </w:r>
      <w:r>
        <w:t xml:space="preserve"> </w:t>
      </w:r>
      <w:r>
        <w:t xml:space="preserve">	</w:t>
      </w:r>
      <w:r>
        <w:t xml:space="preserve">Parrinello, M., and A. Rahman. 1981.</w:t>
      </w:r>
      <w:r>
        <w:t xml:space="preserve"> </w:t>
      </w:r>
      <w:hyperlink r:id="rId201">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02"/>
    <w:bookmarkStart w:id="203" w:name="ref-ggplot"/>
    <w:p>
      <w:pPr>
        <w:pStyle w:val="Bibliography"/>
      </w:pPr>
      <w:r>
        <w:t xml:space="preserve">36.</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03"/>
    <w:bookmarkStart w:id="205" w:name="ref-molstar"/>
    <w:p>
      <w:pPr>
        <w:pStyle w:val="Bibliography"/>
      </w:pPr>
      <w:r>
        <w:t xml:space="preserve">37.</w:t>
      </w:r>
      <w:r>
        <w:t xml:space="preserve"> </w:t>
      </w:r>
      <w:r>
        <w:t xml:space="preserve">	</w:t>
      </w:r>
      <w:r>
        <w:t xml:space="preserve">Sehnal, D., S. Bittrich, M. Deshpande, R. Svobodová, K. Berka, V. Bazgier, S. Velankar, S.K. Burley, J. Koča, and A.S. Rose. 2021.</w:t>
      </w:r>
      <w:r>
        <w:t xml:space="preserve"> </w:t>
      </w:r>
      <w:hyperlink r:id="rId204">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05"/>
    <w:bookmarkStart w:id="206" w:name="ref-blender"/>
    <w:p>
      <w:pPr>
        <w:pStyle w:val="Bibliography"/>
      </w:pPr>
      <w:r>
        <w:t xml:space="preserve">38.</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06"/>
    <w:bookmarkStart w:id="207" w:name="ref-vmd"/>
    <w:p>
      <w:pPr>
        <w:pStyle w:val="Bibliography"/>
      </w:pPr>
      <w:r>
        <w:t xml:space="preserve">39.</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07"/>
    <w:bookmarkStart w:id="209" w:name="ref-quarto"/>
    <w:p>
      <w:pPr>
        <w:pStyle w:val="Bibliography"/>
      </w:pPr>
      <w:r>
        <w:t xml:space="preserve">40.</w:t>
      </w:r>
      <w:r>
        <w:t xml:space="preserve"> </w:t>
      </w:r>
      <w:r>
        <w:t xml:space="preserve">	</w:t>
      </w:r>
      <w:r>
        <w:t xml:space="preserve">Allaire, J.J., C. Teague, C. Scheidegger, Y. Xie, and C. Dervieux. 2022.</w:t>
      </w:r>
      <w:r>
        <w:t xml:space="preserve"> </w:t>
      </w:r>
      <w:hyperlink r:id="rId208">
        <w:r>
          <w:rPr>
            <w:rStyle w:val="Hyperlink"/>
          </w:rPr>
          <w:t xml:space="preserve">Quarto</w:t>
        </w:r>
      </w:hyperlink>
      <w:r>
        <w:t xml:space="preserve">.</w:t>
      </w:r>
    </w:p>
    <w:bookmarkEnd w:id="209"/>
    <w:bookmarkStart w:id="210" w:name="ref-rmarkdown2018"/>
    <w:p>
      <w:pPr>
        <w:pStyle w:val="Bibliography"/>
      </w:pPr>
      <w:r>
        <w:t xml:space="preserve">41.</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0"/>
    <w:bookmarkStart w:id="211" w:name="ref-knitr"/>
    <w:p>
      <w:pPr>
        <w:pStyle w:val="Bibliography"/>
      </w:pPr>
      <w:r>
        <w:t xml:space="preserve">42.</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1"/>
    <w:bookmarkStart w:id="212" w:name="ref-rbetterposter"/>
    <w:p>
      <w:pPr>
        <w:pStyle w:val="Bibliography"/>
      </w:pPr>
      <w:r>
        <w:t xml:space="preserve">43.</w:t>
      </w:r>
      <w:r>
        <w:t xml:space="preserve"> </w:t>
      </w:r>
      <w:r>
        <w:t xml:space="preserve">	</w:t>
      </w:r>
      <w:r>
        <w:t xml:space="preserve">Aden-Buie, G. 2022. Betterposter:</w:t>
      </w:r>
      <w:r>
        <w:t xml:space="preserve"> </w:t>
      </w:r>
      <w:r>
        <w:t xml:space="preserve">A</w:t>
      </w:r>
      <w:r>
        <w:t xml:space="preserve"> </w:t>
      </w:r>
      <w:r>
        <w:t xml:space="preserve">better scientific poster.</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87" Target="https://doi.org/10.1002/cpps.20" TargetMode="External" /><Relationship Type="http://schemas.openxmlformats.org/officeDocument/2006/relationships/hyperlink" Id="rId189" Target="https://doi.org/10.1002/jcc.20084" TargetMode="External" /><Relationship Type="http://schemas.openxmlformats.org/officeDocument/2006/relationships/hyperlink" Id="rId193" Target="https://doi.org/10.1002/jcc.20945" TargetMode="External" /><Relationship Type="http://schemas.openxmlformats.org/officeDocument/2006/relationships/hyperlink" Id="rId191" Target="https://doi.org/10.1002/jcc.21287" TargetMode="External" /><Relationship Type="http://schemas.openxmlformats.org/officeDocument/2006/relationships/hyperlink" Id="rId179"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3" Target="https://doi.org/10.1016/j.cell.2019.08.034" TargetMode="External" /><Relationship Type="http://schemas.openxmlformats.org/officeDocument/2006/relationships/hyperlink" Id="rId181"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5"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1" Target="https://doi.org/10.1063/1.328693" TargetMode="External" /><Relationship Type="http://schemas.openxmlformats.org/officeDocument/2006/relationships/hyperlink" Id="rId199"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1"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04" Target="https://doi.org/10.1093/nar/gkab314" TargetMode="External" /><Relationship Type="http://schemas.openxmlformats.org/officeDocument/2006/relationships/hyperlink" Id="rId197"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5"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3" Target="https://doi.org/10.5281/zenodo.3562495" TargetMode="External" /><Relationship Type="http://schemas.openxmlformats.org/officeDocument/2006/relationships/hyperlink" Id="rId208"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87" Target="https://doi.org/10.1002/cpps.20" TargetMode="External" /><Relationship Type="http://schemas.openxmlformats.org/officeDocument/2006/relationships/hyperlink" Id="rId189" Target="https://doi.org/10.1002/jcc.20084" TargetMode="External" /><Relationship Type="http://schemas.openxmlformats.org/officeDocument/2006/relationships/hyperlink" Id="rId193" Target="https://doi.org/10.1002/jcc.20945" TargetMode="External" /><Relationship Type="http://schemas.openxmlformats.org/officeDocument/2006/relationships/hyperlink" Id="rId191" Target="https://doi.org/10.1002/jcc.21287" TargetMode="External" /><Relationship Type="http://schemas.openxmlformats.org/officeDocument/2006/relationships/hyperlink" Id="rId179"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3" Target="https://doi.org/10.1016/j.cell.2019.08.034" TargetMode="External" /><Relationship Type="http://schemas.openxmlformats.org/officeDocument/2006/relationships/hyperlink" Id="rId181"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5"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1" Target="https://doi.org/10.1063/1.328693" TargetMode="External" /><Relationship Type="http://schemas.openxmlformats.org/officeDocument/2006/relationships/hyperlink" Id="rId199"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1"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04" Target="https://doi.org/10.1093/nar/gkab314" TargetMode="External" /><Relationship Type="http://schemas.openxmlformats.org/officeDocument/2006/relationships/hyperlink" Id="rId197"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5"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3" Target="https://doi.org/10.5281/zenodo.3562495" TargetMode="External" /><Relationship Type="http://schemas.openxmlformats.org/officeDocument/2006/relationships/hyperlink" Id="rId208"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
  <dcterms:created xsi:type="dcterms:W3CDTF">2022-03-11T11:04:06Z</dcterms:created>
  <dcterms:modified xsi:type="dcterms:W3CDTF">2022-03-11T11:04:06Z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olorlinks">
    <vt:lpwstr>True</vt:lpwstr>
  </property>
  <property fmtid="{D5CDD505-2E9C-101B-9397-08002B2CF9AE}" pid="5" name="csl">
    <vt:lpwstr>biophysical-journal.csl</vt:lpwstr>
  </property>
  <property fmtid="{D5CDD505-2E9C-101B-9397-08002B2CF9AE}" pid="6" name="date">
    <vt:lpwstr>2021-09-07</vt:lpwstr>
  </property>
  <property fmtid="{D5CDD505-2E9C-101B-9397-08002B2CF9AE}" pid="7" name="format">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toc-title">
    <vt:lpwstr>Table of contents</vt:lpwstr>
  </property>
</Properties>
</file>